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71446" w:rsidRPr="007778B4" w14:paraId="22BC89BB" w14:textId="77777777" w:rsidTr="006014CF">
        <w:tc>
          <w:tcPr>
            <w:tcW w:w="8978" w:type="dxa"/>
            <w:shd w:val="clear" w:color="auto" w:fill="07AF27"/>
          </w:tcPr>
          <w:p w14:paraId="17A7FDB3" w14:textId="228DC0F0" w:rsidR="00471446" w:rsidRPr="007778B4" w:rsidRDefault="006014CF" w:rsidP="006014CF">
            <w:pPr>
              <w:tabs>
                <w:tab w:val="left" w:pos="3750"/>
                <w:tab w:val="center" w:pos="4306"/>
              </w:tabs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ab/>
            </w: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ab/>
            </w:r>
            <w:r w:rsidR="00471446" w:rsidRPr="007778B4">
              <w:rPr>
                <w:rFonts w:ascii="Gotham Bold" w:hAnsi="Gotham Bold" w:cstheme="minorHAnsi"/>
                <w:b/>
                <w:sz w:val="24"/>
                <w:szCs w:val="24"/>
              </w:rPr>
              <w:t>Objetivo</w:t>
            </w:r>
          </w:p>
        </w:tc>
      </w:tr>
      <w:tr w:rsidR="00471446" w:rsidRPr="007778B4" w14:paraId="349E1BE4" w14:textId="77777777" w:rsidTr="00471446">
        <w:tc>
          <w:tcPr>
            <w:tcW w:w="8978" w:type="dxa"/>
            <w:tcBorders>
              <w:bottom w:val="dotted" w:sz="4" w:space="0" w:color="auto"/>
            </w:tcBorders>
          </w:tcPr>
          <w:p w14:paraId="35FC8C46" w14:textId="48B5B534" w:rsidR="00471446" w:rsidRPr="007778B4" w:rsidRDefault="004C7D6F" w:rsidP="008D05D3">
            <w:p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Establecer las acciones a seguir cuando se reciban </w:t>
            </w:r>
            <w:r w:rsidR="008D05D3" w:rsidRPr="007778B4">
              <w:rPr>
                <w:rFonts w:ascii="Gotham Bold" w:hAnsi="Gotham Bold" w:cstheme="minorHAnsi"/>
                <w:sz w:val="24"/>
                <w:szCs w:val="24"/>
              </w:rPr>
              <w:t>recursos de Reconsideración o Apelaciones de las decisiones sobre los Protocolos de Investigación sometidos a los Comité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 xml:space="preserve"> de Bioética de Universidad Metropolitana de Educación Ciencia Y Tecnología UMECIT CBI- UMECIT</w:t>
            </w:r>
          </w:p>
        </w:tc>
      </w:tr>
      <w:tr w:rsidR="00471446" w:rsidRPr="007778B4" w14:paraId="258EB12A" w14:textId="77777777" w:rsidTr="006014CF">
        <w:tc>
          <w:tcPr>
            <w:tcW w:w="8978" w:type="dxa"/>
            <w:shd w:val="clear" w:color="auto" w:fill="07AF27"/>
          </w:tcPr>
          <w:p w14:paraId="30A0D817" w14:textId="77777777" w:rsidR="00471446" w:rsidRPr="007778B4" w:rsidRDefault="00471446" w:rsidP="00471446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Alcance</w:t>
            </w:r>
          </w:p>
        </w:tc>
      </w:tr>
      <w:tr w:rsidR="00471446" w:rsidRPr="007778B4" w14:paraId="2B3671E8" w14:textId="77777777" w:rsidTr="00471446">
        <w:tc>
          <w:tcPr>
            <w:tcW w:w="8978" w:type="dxa"/>
          </w:tcPr>
          <w:p w14:paraId="6E2F64AF" w14:textId="49B272FB" w:rsidR="00471446" w:rsidRPr="007778B4" w:rsidRDefault="000753A3" w:rsidP="008D05D3">
            <w:p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Investigadores </w:t>
            </w:r>
          </w:p>
        </w:tc>
      </w:tr>
    </w:tbl>
    <w:p w14:paraId="62BC8D26" w14:textId="77777777" w:rsidR="00471446" w:rsidRPr="007778B4" w:rsidRDefault="00471446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p w14:paraId="767FC9A9" w14:textId="77777777" w:rsidR="00A85348" w:rsidRPr="007778B4" w:rsidRDefault="00A85348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6880"/>
      </w:tblGrid>
      <w:tr w:rsidR="00471446" w:rsidRPr="007778B4" w14:paraId="00DC7A2E" w14:textId="77777777" w:rsidTr="006014CF">
        <w:tc>
          <w:tcPr>
            <w:tcW w:w="8828" w:type="dxa"/>
            <w:gridSpan w:val="2"/>
            <w:shd w:val="clear" w:color="auto" w:fill="07AF27"/>
          </w:tcPr>
          <w:p w14:paraId="1F6856F3" w14:textId="77777777" w:rsidR="00471446" w:rsidRPr="007778B4" w:rsidRDefault="00471446" w:rsidP="00471446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Definiciones</w:t>
            </w:r>
          </w:p>
        </w:tc>
      </w:tr>
      <w:tr w:rsidR="002E1E39" w:rsidRPr="007778B4" w14:paraId="69440C31" w14:textId="77777777" w:rsidTr="001277F2">
        <w:tc>
          <w:tcPr>
            <w:tcW w:w="1948" w:type="dxa"/>
            <w:vAlign w:val="center"/>
          </w:tcPr>
          <w:p w14:paraId="2547D848" w14:textId="77777777" w:rsidR="002E1E39" w:rsidRPr="007778B4" w:rsidRDefault="008D05D3" w:rsidP="00F64555">
            <w:pPr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Reconsideración</w:t>
            </w:r>
          </w:p>
        </w:tc>
        <w:tc>
          <w:tcPr>
            <w:tcW w:w="6880" w:type="dxa"/>
            <w:vAlign w:val="center"/>
          </w:tcPr>
          <w:p w14:paraId="50410405" w14:textId="33BA2CA3" w:rsidR="002E1E39" w:rsidRPr="007778B4" w:rsidRDefault="001277F2" w:rsidP="001277F2">
            <w:p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Solicitud de reevaluación interpuesta por el investigador principal ante el C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>BI- UMECIT,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como única instancia, para que modifique o revoque una decisión que haya emitido sobre un Protocolo de Investigación.</w:t>
            </w:r>
          </w:p>
        </w:tc>
      </w:tr>
    </w:tbl>
    <w:p w14:paraId="787E5CED" w14:textId="77777777" w:rsidR="00471446" w:rsidRPr="007778B4" w:rsidRDefault="00471446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p w14:paraId="22BFDF38" w14:textId="77777777" w:rsidR="00A85348" w:rsidRPr="007778B4" w:rsidRDefault="00A85348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6894"/>
      </w:tblGrid>
      <w:tr w:rsidR="00471446" w:rsidRPr="007778B4" w14:paraId="66B0A321" w14:textId="77777777" w:rsidTr="006014CF">
        <w:tc>
          <w:tcPr>
            <w:tcW w:w="8828" w:type="dxa"/>
            <w:gridSpan w:val="2"/>
            <w:shd w:val="clear" w:color="auto" w:fill="07AF27"/>
          </w:tcPr>
          <w:p w14:paraId="35E32935" w14:textId="77777777" w:rsidR="00471446" w:rsidRPr="007778B4" w:rsidRDefault="00471446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Responsabilidades</w:t>
            </w:r>
          </w:p>
        </w:tc>
      </w:tr>
      <w:tr w:rsidR="00EE5D02" w:rsidRPr="007778B4" w14:paraId="6A6938FD" w14:textId="77777777" w:rsidTr="00B206A2">
        <w:tc>
          <w:tcPr>
            <w:tcW w:w="1934" w:type="dxa"/>
            <w:vAlign w:val="center"/>
          </w:tcPr>
          <w:p w14:paraId="216F10C4" w14:textId="7F0B1C8C" w:rsidR="00EE5D02" w:rsidRPr="007778B4" w:rsidRDefault="00EE5D02" w:rsidP="007007BF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Secretaria del C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 xml:space="preserve">BI- UMECIT </w:t>
            </w:r>
          </w:p>
        </w:tc>
        <w:tc>
          <w:tcPr>
            <w:tcW w:w="6894" w:type="dxa"/>
            <w:vAlign w:val="center"/>
          </w:tcPr>
          <w:p w14:paraId="3CE2F8A2" w14:textId="61EBE1F4" w:rsidR="00EE5D02" w:rsidRPr="007778B4" w:rsidRDefault="009C4A15" w:rsidP="001277F2">
            <w:p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Recibir y tramitar adecuadamente </w:t>
            </w:r>
            <w:r w:rsidR="001277F2" w:rsidRPr="007778B4">
              <w:rPr>
                <w:rFonts w:ascii="Gotham Bold" w:hAnsi="Gotham Bold" w:cstheme="minorHAnsi"/>
                <w:sz w:val="24"/>
                <w:szCs w:val="24"/>
              </w:rPr>
              <w:t>los recursos de reconsideración y apelación presentados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ante el C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 xml:space="preserve">BI-UMECIT </w:t>
            </w:r>
          </w:p>
        </w:tc>
      </w:tr>
      <w:tr w:rsidR="00B206A2" w:rsidRPr="007778B4" w14:paraId="3199DFDF" w14:textId="77777777" w:rsidTr="00B206A2">
        <w:tc>
          <w:tcPr>
            <w:tcW w:w="1934" w:type="dxa"/>
            <w:vAlign w:val="center"/>
          </w:tcPr>
          <w:p w14:paraId="61BC2F74" w14:textId="51D84FFE" w:rsidR="00B206A2" w:rsidRPr="007778B4" w:rsidRDefault="00B206A2" w:rsidP="007007BF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Presidente del C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>BI-. UMECIT</w:t>
            </w:r>
          </w:p>
        </w:tc>
        <w:tc>
          <w:tcPr>
            <w:tcW w:w="6894" w:type="dxa"/>
            <w:vAlign w:val="center"/>
          </w:tcPr>
          <w:p w14:paraId="0B75646A" w14:textId="77777777" w:rsidR="00B206A2" w:rsidRPr="007778B4" w:rsidRDefault="00B206A2" w:rsidP="001277F2">
            <w:p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Responsable de garantizar, en apego al presente procedimiento, que </w:t>
            </w:r>
            <w:r w:rsidR="001277F2" w:rsidRPr="007778B4">
              <w:rPr>
                <w:rFonts w:ascii="Gotham Bold" w:hAnsi="Gotham Bold" w:cstheme="minorHAnsi"/>
                <w:sz w:val="24"/>
                <w:szCs w:val="24"/>
              </w:rPr>
              <w:t>el CNBI brinde respuestas a todos lo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s </w:t>
            </w:r>
            <w:r w:rsidR="001277F2" w:rsidRPr="007778B4">
              <w:rPr>
                <w:rFonts w:ascii="Gotham Bold" w:hAnsi="Gotham Bold" w:cstheme="minorHAnsi"/>
                <w:sz w:val="24"/>
                <w:szCs w:val="24"/>
              </w:rPr>
              <w:t xml:space="preserve">recursos de reconsideración y apelación presentados. </w:t>
            </w:r>
          </w:p>
        </w:tc>
      </w:tr>
      <w:tr w:rsidR="00471446" w:rsidRPr="007778B4" w14:paraId="7A71624C" w14:textId="77777777" w:rsidTr="00B206A2">
        <w:tc>
          <w:tcPr>
            <w:tcW w:w="1934" w:type="dxa"/>
            <w:vAlign w:val="center"/>
          </w:tcPr>
          <w:p w14:paraId="772E2BAD" w14:textId="38AB4BCE" w:rsidR="00471446" w:rsidRPr="007778B4" w:rsidRDefault="00390BAB" w:rsidP="007007BF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Miembros del C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 xml:space="preserve">BI- UMECIT </w:t>
            </w:r>
          </w:p>
        </w:tc>
        <w:tc>
          <w:tcPr>
            <w:tcW w:w="6894" w:type="dxa"/>
            <w:vAlign w:val="center"/>
          </w:tcPr>
          <w:p w14:paraId="414E787E" w14:textId="77777777" w:rsidR="00471446" w:rsidRPr="007778B4" w:rsidRDefault="00B206A2" w:rsidP="001277F2">
            <w:p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Conocer</w:t>
            </w:r>
            <w:r w:rsidR="007007BF" w:rsidRPr="007778B4">
              <w:rPr>
                <w:rFonts w:ascii="Gotham Bold" w:hAnsi="Gotham Bold" w:cstheme="minorHAnsi"/>
                <w:sz w:val="24"/>
                <w:szCs w:val="24"/>
              </w:rPr>
              <w:t xml:space="preserve"> </w:t>
            </w:r>
            <w:r w:rsidR="001277F2" w:rsidRPr="007778B4">
              <w:rPr>
                <w:rFonts w:ascii="Gotham Bold" w:hAnsi="Gotham Bold" w:cstheme="minorHAnsi"/>
                <w:sz w:val="24"/>
                <w:szCs w:val="24"/>
              </w:rPr>
              <w:t>y considerar adecuadamente lo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s </w:t>
            </w:r>
            <w:r w:rsidR="001277F2" w:rsidRPr="007778B4">
              <w:rPr>
                <w:rFonts w:ascii="Gotham Bold" w:hAnsi="Gotham Bold" w:cstheme="minorHAnsi"/>
                <w:sz w:val="24"/>
                <w:szCs w:val="24"/>
              </w:rPr>
              <w:t xml:space="preserve">recursos de reconsideración y apelación presentados ante el CNBI. </w:t>
            </w:r>
          </w:p>
        </w:tc>
      </w:tr>
    </w:tbl>
    <w:p w14:paraId="6AD4E65B" w14:textId="77777777" w:rsidR="00471446" w:rsidRPr="007778B4" w:rsidRDefault="00471446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p w14:paraId="04962EDE" w14:textId="77777777" w:rsidR="00A85348" w:rsidRPr="007778B4" w:rsidRDefault="00A85348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71446" w:rsidRPr="007778B4" w14:paraId="195254DA" w14:textId="77777777" w:rsidTr="006014CF">
        <w:tc>
          <w:tcPr>
            <w:tcW w:w="8978" w:type="dxa"/>
            <w:shd w:val="clear" w:color="auto" w:fill="07AF27"/>
          </w:tcPr>
          <w:p w14:paraId="1090AD3A" w14:textId="77777777" w:rsidR="00471446" w:rsidRPr="007778B4" w:rsidRDefault="00471446" w:rsidP="00471446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Descripción del procedimiento</w:t>
            </w:r>
          </w:p>
        </w:tc>
      </w:tr>
      <w:tr w:rsidR="00471446" w:rsidRPr="007778B4" w14:paraId="1CA1B1A7" w14:textId="77777777" w:rsidTr="00471446">
        <w:tc>
          <w:tcPr>
            <w:tcW w:w="8978" w:type="dxa"/>
          </w:tcPr>
          <w:p w14:paraId="068DED51" w14:textId="7AC607F6" w:rsidR="00471446" w:rsidRPr="007778B4" w:rsidRDefault="007007BF" w:rsidP="00F364D9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Recepción</w:t>
            </w:r>
            <w:r w:rsidR="000E0307" w:rsidRPr="007778B4">
              <w:rPr>
                <w:rFonts w:ascii="Gotham Bold" w:hAnsi="Gotham Bold" w:cstheme="minorHAnsi"/>
                <w:b/>
                <w:sz w:val="24"/>
                <w:szCs w:val="24"/>
              </w:rPr>
              <w:t xml:space="preserve"> y atención</w:t>
            </w:r>
            <w:r w:rsidR="00EE5D02" w:rsidRPr="007778B4">
              <w:rPr>
                <w:rFonts w:ascii="Gotham Bold" w:hAnsi="Gotham Bold" w:cstheme="minorHAnsi"/>
                <w:b/>
                <w:sz w:val="24"/>
                <w:szCs w:val="24"/>
              </w:rPr>
              <w:t xml:space="preserve"> </w:t>
            </w:r>
            <w:r w:rsidR="00B251DC" w:rsidRPr="007778B4">
              <w:rPr>
                <w:rFonts w:ascii="Gotham Bold" w:hAnsi="Gotham Bold" w:cstheme="minorHAnsi"/>
                <w:b/>
                <w:sz w:val="24"/>
                <w:szCs w:val="24"/>
              </w:rPr>
              <w:t xml:space="preserve">de los recursos de reconsideración </w:t>
            </w:r>
          </w:p>
          <w:p w14:paraId="0DD5DFCC" w14:textId="5B419374" w:rsidR="005411A3" w:rsidRPr="007778B4" w:rsidRDefault="00B251DC" w:rsidP="007007BF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Todos los recursos de reconsideración y apelación</w:t>
            </w:r>
            <w:r w:rsidR="001D60FA" w:rsidRPr="007778B4">
              <w:rPr>
                <w:rFonts w:ascii="Gotham Bold" w:hAnsi="Gotham Bold" w:cstheme="minorHAnsi"/>
                <w:sz w:val="24"/>
                <w:szCs w:val="24"/>
              </w:rPr>
              <w:t xml:space="preserve"> deberán ser presentado</w:t>
            </w:r>
            <w:r w:rsidR="00B206A2" w:rsidRPr="007778B4">
              <w:rPr>
                <w:rFonts w:ascii="Gotham Bold" w:hAnsi="Gotham Bold" w:cstheme="minorHAnsi"/>
                <w:sz w:val="24"/>
                <w:szCs w:val="24"/>
              </w:rPr>
              <w:t xml:space="preserve">s </w:t>
            </w:r>
            <w:r w:rsidR="00A5575E" w:rsidRPr="007778B4">
              <w:rPr>
                <w:rFonts w:ascii="Gotham Bold" w:hAnsi="Gotham Bold" w:cstheme="minorHAnsi"/>
                <w:sz w:val="24"/>
                <w:szCs w:val="24"/>
              </w:rPr>
              <w:t xml:space="preserve">de forma física </w:t>
            </w:r>
            <w:r w:rsidR="001D60FA" w:rsidRPr="007778B4">
              <w:rPr>
                <w:rFonts w:ascii="Gotham Bold" w:hAnsi="Gotham Bold" w:cstheme="minorHAnsi"/>
                <w:sz w:val="24"/>
                <w:szCs w:val="24"/>
              </w:rPr>
              <w:t xml:space="preserve">o correo electrónico </w:t>
            </w:r>
            <w:r w:rsidR="00B206A2" w:rsidRPr="007778B4">
              <w:rPr>
                <w:rFonts w:ascii="Gotham Bold" w:hAnsi="Gotham Bold" w:cstheme="minorHAnsi"/>
                <w:sz w:val="24"/>
                <w:szCs w:val="24"/>
              </w:rPr>
              <w:t>ante</w:t>
            </w:r>
            <w:r w:rsidR="00A5575E" w:rsidRPr="007778B4">
              <w:rPr>
                <w:rFonts w:ascii="Gotham Bold" w:hAnsi="Gotham Bold" w:cstheme="minorHAnsi"/>
                <w:sz w:val="24"/>
                <w:szCs w:val="24"/>
              </w:rPr>
              <w:t xml:space="preserve"> la Secretaría Técnica del C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>BI-UMECIT</w:t>
            </w:r>
          </w:p>
          <w:p w14:paraId="60F73E65" w14:textId="132B24F4" w:rsidR="00A5575E" w:rsidRPr="007778B4" w:rsidRDefault="00A5575E" w:rsidP="00A5575E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El investigador principal deberá interponer el recurso de reconsideración o </w:t>
            </w:r>
            <w:r w:rsidR="00DC1751" w:rsidRPr="007778B4">
              <w:rPr>
                <w:rFonts w:ascii="Gotham Bold" w:hAnsi="Gotham Bold" w:cstheme="minorHAnsi"/>
                <w:sz w:val="24"/>
                <w:szCs w:val="24"/>
              </w:rPr>
              <w:t>de apelación dentro de los diez (10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>) días hábi</w:t>
            </w:r>
            <w:r w:rsidR="00DC1751" w:rsidRPr="007778B4">
              <w:rPr>
                <w:rFonts w:ascii="Gotham Bold" w:hAnsi="Gotham Bold" w:cstheme="minorHAnsi"/>
                <w:sz w:val="24"/>
                <w:szCs w:val="24"/>
              </w:rPr>
              <w:t>les siguientes a la notificación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de la decisión que haya emitido 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>CBI-</w:t>
            </w:r>
            <w:proofErr w:type="gramStart"/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 xml:space="preserve">UMECIT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(</w:t>
            </w:r>
            <w:proofErr w:type="gramEnd"/>
            <w:r w:rsidRPr="007778B4">
              <w:rPr>
                <w:rFonts w:ascii="Gotham Bold" w:hAnsi="Gotham Bold" w:cstheme="minorHAnsi"/>
                <w:sz w:val="24"/>
                <w:szCs w:val="24"/>
              </w:rPr>
              <w:t>según sea el caso) sobre el Protocolo de Investigación.</w:t>
            </w:r>
          </w:p>
          <w:p w14:paraId="082185C2" w14:textId="07FD2D52" w:rsidR="00A5575E" w:rsidRPr="007778B4" w:rsidRDefault="00A5575E" w:rsidP="00A5575E">
            <w:pPr>
              <w:pStyle w:val="Prrafodelista"/>
              <w:numPr>
                <w:ilvl w:val="2"/>
                <w:numId w:val="7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El investigador principal deberá indicar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 xml:space="preserve"> y sustentar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en el recurso de 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>reconsideración ante el CBI. UMECIT</w:t>
            </w:r>
          </w:p>
          <w:p w14:paraId="06CE3AF5" w14:textId="5990B95C" w:rsidR="008978F0" w:rsidRPr="007778B4" w:rsidRDefault="00B206A2" w:rsidP="007007BF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lastRenderedPageBreak/>
              <w:t xml:space="preserve">La 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>secretaria técnica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 xml:space="preserve">deberá acusar de recibido el recurso de reconsideración o de apelación presentado, </w:t>
            </w:r>
            <w:r w:rsidR="008978F0" w:rsidRPr="007778B4">
              <w:rPr>
                <w:rFonts w:ascii="Gotham Bold" w:hAnsi="Gotham Bold" w:cstheme="minorHAnsi"/>
                <w:sz w:val="24"/>
                <w:szCs w:val="24"/>
              </w:rPr>
              <w:t xml:space="preserve">mediante la firma de la copia recibida o la respuesta virtual al correo enviado. </w:t>
            </w:r>
          </w:p>
          <w:p w14:paraId="30B880FA" w14:textId="3998B80E" w:rsidR="008978F0" w:rsidRPr="007778B4" w:rsidRDefault="008978F0" w:rsidP="0035115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La </w:t>
            </w:r>
            <w:proofErr w:type="gramStart"/>
            <w:r w:rsidRPr="007778B4">
              <w:rPr>
                <w:rFonts w:ascii="Gotham Bold" w:hAnsi="Gotham Bold" w:cstheme="minorHAnsi"/>
                <w:sz w:val="24"/>
                <w:szCs w:val="24"/>
              </w:rPr>
              <w:t>Secretaria Técnica</w:t>
            </w:r>
            <w:proofErr w:type="gramEnd"/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deberá coordinar con el Presidente del C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>BI-UMECIT la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inclusión de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>l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 xml:space="preserve">recurso de reconsideración o apelación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>en el Orden del Día de la siguiente reunión de C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>BI-UMECIT</w:t>
            </w:r>
          </w:p>
          <w:p w14:paraId="3138C499" w14:textId="77777777" w:rsidR="00CD0D5D" w:rsidRPr="007778B4" w:rsidRDefault="00B738A0" w:rsidP="00CD0D5D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Los miembros del CNBI deberán</w:t>
            </w:r>
            <w:r w:rsidR="008978F0" w:rsidRPr="007778B4">
              <w:rPr>
                <w:rFonts w:ascii="Gotham Bold" w:hAnsi="Gotham Bold" w:cstheme="minorHAnsi"/>
                <w:sz w:val="24"/>
                <w:szCs w:val="24"/>
              </w:rPr>
              <w:t xml:space="preserve"> discutir 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>los puntos expuestos en el recurso de reconsideración o apelación</w:t>
            </w:r>
            <w:r w:rsidR="008978F0" w:rsidRPr="007778B4">
              <w:rPr>
                <w:rFonts w:ascii="Gotham Bold" w:hAnsi="Gotham Bold" w:cstheme="minorHAnsi"/>
                <w:sz w:val="24"/>
                <w:szCs w:val="24"/>
              </w:rPr>
              <w:t xml:space="preserve">, 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 xml:space="preserve">y </w:t>
            </w:r>
            <w:r w:rsidR="00116A81" w:rsidRPr="007778B4">
              <w:rPr>
                <w:rFonts w:ascii="Gotham Bold" w:hAnsi="Gotham Bold" w:cstheme="minorHAnsi"/>
                <w:sz w:val="24"/>
                <w:szCs w:val="24"/>
              </w:rPr>
              <w:t xml:space="preserve">con base en 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 xml:space="preserve">la </w:t>
            </w:r>
            <w:r w:rsidR="00116A81" w:rsidRPr="007778B4">
              <w:rPr>
                <w:rFonts w:ascii="Gotham Bold" w:hAnsi="Gotham Bold" w:cstheme="minorHAnsi"/>
                <w:sz w:val="24"/>
                <w:szCs w:val="24"/>
              </w:rPr>
              <w:t xml:space="preserve">ética en investigación, 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 xml:space="preserve">los </w:t>
            </w:r>
            <w:r w:rsidR="00116A81" w:rsidRPr="007778B4">
              <w:rPr>
                <w:rFonts w:ascii="Gotham Bold" w:hAnsi="Gotham Bold" w:cstheme="minorHAnsi"/>
                <w:sz w:val="24"/>
                <w:szCs w:val="24"/>
              </w:rPr>
              <w:t xml:space="preserve">elementos científicos - metodológicos, 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 xml:space="preserve">las </w:t>
            </w:r>
            <w:r w:rsidR="00116A81" w:rsidRPr="007778B4">
              <w:rPr>
                <w:rFonts w:ascii="Gotham Bold" w:hAnsi="Gotham Bold" w:cstheme="minorHAnsi"/>
                <w:sz w:val="24"/>
                <w:szCs w:val="24"/>
              </w:rPr>
              <w:t>regulaciones aplicables, lineamientos de Buena Práctica Clínica, mejores pr</w:t>
            </w:r>
            <w:r w:rsidR="00CB49D0" w:rsidRPr="007778B4">
              <w:rPr>
                <w:rFonts w:ascii="Gotham Bold" w:hAnsi="Gotham Bold" w:cstheme="minorHAnsi"/>
                <w:sz w:val="24"/>
                <w:szCs w:val="24"/>
              </w:rPr>
              <w:t>ácticas</w:t>
            </w:r>
            <w:r w:rsidR="00116A81" w:rsidRPr="007778B4">
              <w:rPr>
                <w:rFonts w:ascii="Gotham Bold" w:hAnsi="Gotham Bold" w:cstheme="minorHAnsi"/>
                <w:sz w:val="24"/>
                <w:szCs w:val="24"/>
              </w:rPr>
              <w:t xml:space="preserve"> y otras relacionadas a investigación clínica</w:t>
            </w:r>
            <w:r w:rsidR="005E1A22" w:rsidRPr="007778B4">
              <w:rPr>
                <w:rFonts w:ascii="Gotham Bold" w:hAnsi="Gotham Bold" w:cstheme="minorHAnsi"/>
                <w:sz w:val="24"/>
                <w:szCs w:val="24"/>
              </w:rPr>
              <w:t>,</w:t>
            </w:r>
            <w:r w:rsidR="007007BF" w:rsidRPr="007778B4">
              <w:rPr>
                <w:rFonts w:ascii="Gotham Bold" w:hAnsi="Gotham Bold" w:cstheme="minorHAnsi"/>
                <w:sz w:val="24"/>
                <w:szCs w:val="24"/>
              </w:rPr>
              <w:t xml:space="preserve"> </w:t>
            </w:r>
            <w:r w:rsidR="005E1A22" w:rsidRPr="007778B4">
              <w:rPr>
                <w:rFonts w:ascii="Gotham Bold" w:hAnsi="Gotham Bold" w:cstheme="minorHAnsi"/>
                <w:sz w:val="24"/>
                <w:szCs w:val="24"/>
              </w:rPr>
              <w:t xml:space="preserve">podrán realizar las siguientes </w:t>
            </w:r>
            <w:r w:rsidR="007A6C16" w:rsidRPr="007778B4">
              <w:rPr>
                <w:rFonts w:ascii="Gotham Bold" w:hAnsi="Gotham Bold" w:cstheme="minorHAnsi"/>
                <w:sz w:val="24"/>
                <w:szCs w:val="24"/>
              </w:rPr>
              <w:t>gestiones</w:t>
            </w:r>
            <w:r w:rsidR="005E1A22" w:rsidRPr="007778B4">
              <w:rPr>
                <w:rFonts w:ascii="Gotham Bold" w:hAnsi="Gotham Bold" w:cstheme="minorHAnsi"/>
                <w:sz w:val="24"/>
                <w:szCs w:val="24"/>
              </w:rPr>
              <w:t>:</w:t>
            </w:r>
          </w:p>
          <w:p w14:paraId="69DAE9E3" w14:textId="32D9D292" w:rsidR="007A6C16" w:rsidRPr="007778B4" w:rsidRDefault="004C65EC" w:rsidP="00CD0D5D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Establecer</w:t>
            </w:r>
            <w:r w:rsidR="007007BF" w:rsidRPr="007778B4">
              <w:rPr>
                <w:rFonts w:ascii="Gotham Bold" w:hAnsi="Gotham Bold" w:cstheme="minorHAnsi"/>
                <w:sz w:val="24"/>
                <w:szCs w:val="24"/>
              </w:rPr>
              <w:t xml:space="preserve"> acciones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a fin </w:t>
            </w:r>
            <w:r w:rsidR="003B2DB7" w:rsidRPr="007778B4">
              <w:rPr>
                <w:rFonts w:ascii="Gotham Bold" w:hAnsi="Gotham Bold" w:cstheme="minorHAnsi"/>
                <w:sz w:val="24"/>
                <w:szCs w:val="24"/>
              </w:rPr>
              <w:t xml:space="preserve">analizar 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>los puntos expuestos en el recurso de reconsideración</w:t>
            </w:r>
            <w:r w:rsidR="003B2DB7" w:rsidRPr="007778B4">
              <w:rPr>
                <w:rFonts w:ascii="Gotham Bold" w:hAnsi="Gotham Bold" w:cstheme="minorHAnsi"/>
                <w:sz w:val="24"/>
                <w:szCs w:val="24"/>
              </w:rPr>
              <w:t>,</w:t>
            </w:r>
            <w:r w:rsidR="00CD0D5D" w:rsidRPr="007778B4">
              <w:rPr>
                <w:rFonts w:ascii="Gotham Bold" w:hAnsi="Gotham Bold" w:cstheme="minorHAnsi"/>
                <w:sz w:val="24"/>
                <w:szCs w:val="24"/>
              </w:rPr>
              <w:t xml:space="preserve">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>tales como: visitas al sitio d</w:t>
            </w:r>
            <w:r w:rsidR="003B2DB7" w:rsidRPr="007778B4">
              <w:rPr>
                <w:rFonts w:ascii="Gotham Bold" w:hAnsi="Gotham Bold" w:cstheme="minorHAnsi"/>
                <w:sz w:val="24"/>
                <w:szCs w:val="24"/>
              </w:rPr>
              <w:t>onde se r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>e</w:t>
            </w:r>
            <w:r w:rsidR="003B2DB7" w:rsidRPr="007778B4">
              <w:rPr>
                <w:rFonts w:ascii="Gotham Bold" w:hAnsi="Gotham Bold" w:cstheme="minorHAnsi"/>
                <w:sz w:val="24"/>
                <w:szCs w:val="24"/>
              </w:rPr>
              <w:t>alizará el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estudio</w:t>
            </w:r>
            <w:r w:rsidR="003B2DB7" w:rsidRPr="007778B4">
              <w:rPr>
                <w:rFonts w:ascii="Gotham Bold" w:hAnsi="Gotham Bold" w:cstheme="minorHAnsi"/>
                <w:sz w:val="24"/>
                <w:szCs w:val="24"/>
              </w:rPr>
              <w:t>, consultas o solicitud de información adicional al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patrocinador, investigador principal</w:t>
            </w:r>
            <w:r w:rsidR="007A6C16" w:rsidRPr="007778B4">
              <w:rPr>
                <w:rFonts w:ascii="Gotham Bold" w:hAnsi="Gotham Bold" w:cstheme="minorHAnsi"/>
                <w:sz w:val="24"/>
                <w:szCs w:val="24"/>
              </w:rPr>
              <w:t xml:space="preserve">, autoridad sanitaria o ante quien considere para la adecuada </w:t>
            </w:r>
            <w:r w:rsidR="003B2DB7" w:rsidRPr="007778B4">
              <w:rPr>
                <w:rFonts w:ascii="Gotham Bold" w:hAnsi="Gotham Bold" w:cstheme="minorHAnsi"/>
                <w:sz w:val="24"/>
                <w:szCs w:val="24"/>
              </w:rPr>
              <w:t xml:space="preserve">respuesta al recurrente. </w:t>
            </w:r>
            <w:r w:rsidR="007A6C16" w:rsidRPr="007778B4">
              <w:rPr>
                <w:rFonts w:ascii="Gotham Bold" w:hAnsi="Gotham Bold" w:cstheme="minorHAnsi"/>
                <w:sz w:val="24"/>
                <w:szCs w:val="24"/>
              </w:rPr>
              <w:t xml:space="preserve">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</w:t>
            </w:r>
          </w:p>
          <w:p w14:paraId="21F3C4A2" w14:textId="4C2AA3FC" w:rsidR="000753A3" w:rsidRPr="007778B4" w:rsidRDefault="000753A3" w:rsidP="00CD0D5D">
            <w:pPr>
              <w:pStyle w:val="Prrafodelista"/>
              <w:numPr>
                <w:ilvl w:val="2"/>
                <w:numId w:val="8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El CBI- UMECIT podrá solicitar guía al CNBI </w:t>
            </w:r>
          </w:p>
          <w:p w14:paraId="0E4B8E2C" w14:textId="696FEA93" w:rsidR="007A6C16" w:rsidRPr="007778B4" w:rsidRDefault="007A6C16" w:rsidP="007778B4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Una vez </w:t>
            </w:r>
            <w:r w:rsidR="003B2DB7" w:rsidRPr="007778B4">
              <w:rPr>
                <w:rFonts w:ascii="Gotham Bold" w:hAnsi="Gotham Bold" w:cstheme="minorHAnsi"/>
                <w:sz w:val="24"/>
                <w:szCs w:val="24"/>
              </w:rPr>
              <w:t>deliberado el recurso de reconsideración se deberá emitir por escrito la correspondiente respuesta que deberá ser comunicada al investigador principal.</w:t>
            </w:r>
          </w:p>
          <w:p w14:paraId="0399E642" w14:textId="193A57A0" w:rsidR="00F364D9" w:rsidRPr="007778B4" w:rsidRDefault="00F364D9" w:rsidP="007778B4">
            <w:p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</w:p>
          <w:p w14:paraId="42233543" w14:textId="77777777" w:rsidR="00F364D9" w:rsidRPr="007778B4" w:rsidRDefault="00063A3A" w:rsidP="005750E9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La </w:t>
            </w:r>
            <w:proofErr w:type="gramStart"/>
            <w:r w:rsidR="000E0307" w:rsidRPr="007778B4">
              <w:rPr>
                <w:rFonts w:ascii="Gotham Bold" w:hAnsi="Gotham Bold" w:cstheme="minorHAnsi"/>
                <w:sz w:val="24"/>
                <w:szCs w:val="24"/>
              </w:rPr>
              <w:t>Secretaria Técnica</w:t>
            </w:r>
            <w:proofErr w:type="gramEnd"/>
            <w:r w:rsidR="000E0307" w:rsidRPr="007778B4">
              <w:rPr>
                <w:rFonts w:ascii="Gotham Bold" w:hAnsi="Gotham Bold" w:cstheme="minorHAnsi"/>
                <w:sz w:val="24"/>
                <w:szCs w:val="24"/>
              </w:rPr>
              <w:t xml:space="preserve">,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se encargará de realizar </w:t>
            </w:r>
            <w:r w:rsidR="000E0307" w:rsidRPr="007778B4">
              <w:rPr>
                <w:rFonts w:ascii="Gotham Bold" w:hAnsi="Gotham Bold" w:cstheme="minorHAnsi"/>
                <w:sz w:val="24"/>
                <w:szCs w:val="24"/>
              </w:rPr>
              <w:t xml:space="preserve">el adecuado registro de </w:t>
            </w:r>
            <w:r w:rsidR="003B2DB7" w:rsidRPr="007778B4">
              <w:rPr>
                <w:rFonts w:ascii="Gotham Bold" w:hAnsi="Gotham Bold" w:cstheme="minorHAnsi"/>
                <w:sz w:val="24"/>
                <w:szCs w:val="24"/>
              </w:rPr>
              <w:t xml:space="preserve">los recursos de reconsideración y apelación,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>así como de</w:t>
            </w:r>
            <w:r w:rsidR="000E0307" w:rsidRPr="007778B4">
              <w:rPr>
                <w:rFonts w:ascii="Gotham Bold" w:hAnsi="Gotham Bold" w:cstheme="minorHAnsi"/>
                <w:sz w:val="24"/>
                <w:szCs w:val="24"/>
              </w:rPr>
              <w:t xml:space="preserve"> la generación de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>correspondencia, notificaciones u</w:t>
            </w:r>
            <w:r w:rsidR="000E0307" w:rsidRPr="007778B4">
              <w:rPr>
                <w:rFonts w:ascii="Gotham Bold" w:hAnsi="Gotham Bold" w:cstheme="minorHAnsi"/>
                <w:sz w:val="24"/>
                <w:szCs w:val="24"/>
              </w:rPr>
              <w:t xml:space="preserve"> otro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>s,</w:t>
            </w:r>
            <w:r w:rsidR="000E0307" w:rsidRPr="007778B4">
              <w:rPr>
                <w:rFonts w:ascii="Gotham Bold" w:hAnsi="Gotham Bold" w:cstheme="minorHAnsi"/>
                <w:sz w:val="24"/>
                <w:szCs w:val="24"/>
              </w:rPr>
              <w:t xml:space="preserve"> según corresponda y su respectivo archivo.</w:t>
            </w:r>
          </w:p>
          <w:p w14:paraId="5BBF2986" w14:textId="1C87A54C" w:rsidR="00684079" w:rsidRPr="007778B4" w:rsidRDefault="003B2DB7" w:rsidP="005750E9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Se tendrán el</w:t>
            </w:r>
            <w:r w:rsidR="005411A3" w:rsidRPr="007778B4">
              <w:rPr>
                <w:rFonts w:ascii="Gotham Bold" w:hAnsi="Gotham Bold" w:cstheme="minorHAnsi"/>
                <w:sz w:val="24"/>
                <w:szCs w:val="24"/>
              </w:rPr>
              <w:t xml:space="preserve"> plazo máximo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de dos (2) meses </w:t>
            </w:r>
            <w:r w:rsidR="005411A3" w:rsidRPr="007778B4">
              <w:rPr>
                <w:rFonts w:ascii="Gotham Bold" w:hAnsi="Gotham Bold" w:cstheme="minorHAnsi"/>
                <w:sz w:val="24"/>
                <w:szCs w:val="24"/>
              </w:rPr>
              <w:t xml:space="preserve">para dar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respuesta </w:t>
            </w:r>
            <w:r w:rsidR="00DC1751" w:rsidRPr="007778B4">
              <w:rPr>
                <w:rFonts w:ascii="Gotham Bold" w:hAnsi="Gotham Bold" w:cstheme="minorHAnsi"/>
                <w:sz w:val="24"/>
                <w:szCs w:val="24"/>
              </w:rPr>
              <w:t xml:space="preserve">a </w:t>
            </w:r>
            <w:r w:rsidRPr="007778B4">
              <w:rPr>
                <w:rFonts w:ascii="Gotham Bold" w:hAnsi="Gotham Bold" w:cstheme="minorHAnsi"/>
                <w:sz w:val="24"/>
                <w:szCs w:val="24"/>
              </w:rPr>
              <w:t>los recursos de reconsideración o de apelación presentados ante el C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>BI- UMECIT</w:t>
            </w:r>
          </w:p>
          <w:p w14:paraId="4FA8DFE2" w14:textId="77777777" w:rsidR="005411A3" w:rsidRPr="007778B4" w:rsidRDefault="005411A3" w:rsidP="005411A3">
            <w:pPr>
              <w:pStyle w:val="Prrafodelista"/>
              <w:ind w:left="1224"/>
              <w:jc w:val="both"/>
              <w:rPr>
                <w:rFonts w:ascii="Gotham Bold" w:hAnsi="Gotham Bold" w:cstheme="minorHAnsi"/>
                <w:sz w:val="24"/>
                <w:szCs w:val="24"/>
              </w:rPr>
            </w:pPr>
          </w:p>
        </w:tc>
      </w:tr>
    </w:tbl>
    <w:p w14:paraId="02291143" w14:textId="77777777" w:rsidR="00471446" w:rsidRPr="007778B4" w:rsidRDefault="00471446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71446" w:rsidRPr="007778B4" w14:paraId="070E512C" w14:textId="77777777" w:rsidTr="006014CF">
        <w:tc>
          <w:tcPr>
            <w:tcW w:w="8828" w:type="dxa"/>
            <w:shd w:val="clear" w:color="auto" w:fill="07AF27"/>
          </w:tcPr>
          <w:p w14:paraId="7C87F6A7" w14:textId="77777777" w:rsidR="00471446" w:rsidRPr="007778B4" w:rsidRDefault="00C118A2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br w:type="page"/>
            </w:r>
            <w:r w:rsidR="00471446" w:rsidRPr="007778B4">
              <w:rPr>
                <w:rFonts w:ascii="Gotham Bold" w:hAnsi="Gotham Bold" w:cstheme="minorHAnsi"/>
                <w:b/>
                <w:sz w:val="24"/>
                <w:szCs w:val="24"/>
              </w:rPr>
              <w:t>Documentos de Referencia</w:t>
            </w:r>
          </w:p>
        </w:tc>
      </w:tr>
      <w:tr w:rsidR="00471446" w:rsidRPr="007778B4" w14:paraId="5719F1E3" w14:textId="77777777" w:rsidTr="00234FDF">
        <w:tc>
          <w:tcPr>
            <w:tcW w:w="8828" w:type="dxa"/>
          </w:tcPr>
          <w:p w14:paraId="4B4CA9C6" w14:textId="448E4DC4" w:rsidR="00C25AF7" w:rsidRPr="007778B4" w:rsidRDefault="006014CF" w:rsidP="00C25AF7">
            <w:pPr>
              <w:pStyle w:val="Prrafodelista"/>
              <w:numPr>
                <w:ilvl w:val="0"/>
                <w:numId w:val="3"/>
              </w:numPr>
              <w:ind w:left="426" w:hanging="284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FT formulario de Reconsideración de Decesión </w:t>
            </w:r>
          </w:p>
        </w:tc>
      </w:tr>
    </w:tbl>
    <w:p w14:paraId="48428200" w14:textId="77777777" w:rsidR="006014CF" w:rsidRPr="007778B4" w:rsidRDefault="006014CF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p w14:paraId="2B56EFBF" w14:textId="77777777" w:rsidR="006014CF" w:rsidRPr="007778B4" w:rsidRDefault="006014CF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p w14:paraId="22CF186C" w14:textId="77777777" w:rsidR="006014CF" w:rsidRPr="007778B4" w:rsidRDefault="006014CF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tbl>
      <w:tblPr>
        <w:tblStyle w:val="Tablaconcuadrcula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546EB" w:rsidRPr="007778B4" w14:paraId="52C22895" w14:textId="77777777" w:rsidTr="006014CF">
        <w:tc>
          <w:tcPr>
            <w:tcW w:w="8978" w:type="dxa"/>
            <w:shd w:val="clear" w:color="auto" w:fill="07AF27"/>
            <w:vAlign w:val="center"/>
          </w:tcPr>
          <w:p w14:paraId="3EC97CB6" w14:textId="77777777" w:rsidR="001546EB" w:rsidRPr="007778B4" w:rsidRDefault="001546EB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Historia de cambios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197"/>
        <w:gridCol w:w="2222"/>
        <w:gridCol w:w="2216"/>
      </w:tblGrid>
      <w:tr w:rsidR="00CA4235" w:rsidRPr="007778B4" w14:paraId="6EF2D007" w14:textId="77777777" w:rsidTr="006014CF">
        <w:tc>
          <w:tcPr>
            <w:tcW w:w="2244" w:type="dxa"/>
            <w:shd w:val="clear" w:color="auto" w:fill="07AF27"/>
            <w:vAlign w:val="center"/>
          </w:tcPr>
          <w:p w14:paraId="7D9BCD7E" w14:textId="77777777" w:rsidR="00CA4235" w:rsidRPr="007778B4" w:rsidRDefault="00CA4235" w:rsidP="00471446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Fecha del cambio:</w:t>
            </w:r>
          </w:p>
        </w:tc>
        <w:tc>
          <w:tcPr>
            <w:tcW w:w="2244" w:type="dxa"/>
            <w:shd w:val="clear" w:color="auto" w:fill="07AF27"/>
            <w:vAlign w:val="center"/>
          </w:tcPr>
          <w:p w14:paraId="5D275428" w14:textId="77777777" w:rsidR="00CA4235" w:rsidRPr="007778B4" w:rsidRDefault="00CA4235" w:rsidP="00471446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Versión revisada / Fecha</w:t>
            </w:r>
          </w:p>
        </w:tc>
        <w:tc>
          <w:tcPr>
            <w:tcW w:w="2245" w:type="dxa"/>
            <w:shd w:val="clear" w:color="auto" w:fill="07AF27"/>
            <w:vAlign w:val="center"/>
          </w:tcPr>
          <w:p w14:paraId="48D46643" w14:textId="77777777" w:rsidR="00CA4235" w:rsidRPr="007778B4" w:rsidRDefault="00CA4235" w:rsidP="00471446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Cambio</w:t>
            </w:r>
          </w:p>
        </w:tc>
        <w:tc>
          <w:tcPr>
            <w:tcW w:w="2245" w:type="dxa"/>
            <w:shd w:val="clear" w:color="auto" w:fill="07AF27"/>
            <w:vAlign w:val="center"/>
          </w:tcPr>
          <w:p w14:paraId="1763E91E" w14:textId="77777777" w:rsidR="00CA4235" w:rsidRPr="007778B4" w:rsidRDefault="00CA4235" w:rsidP="00471446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Justificación</w:t>
            </w:r>
          </w:p>
        </w:tc>
      </w:tr>
      <w:tr w:rsidR="00CA4235" w:rsidRPr="007778B4" w14:paraId="64B8A616" w14:textId="77777777" w:rsidTr="00471446">
        <w:tc>
          <w:tcPr>
            <w:tcW w:w="2244" w:type="dxa"/>
            <w:vAlign w:val="center"/>
          </w:tcPr>
          <w:p w14:paraId="74239C38" w14:textId="77777777" w:rsidR="00CA4235" w:rsidRPr="007778B4" w:rsidRDefault="00CA4235" w:rsidP="00471446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NA</w:t>
            </w:r>
          </w:p>
        </w:tc>
        <w:tc>
          <w:tcPr>
            <w:tcW w:w="2244" w:type="dxa"/>
            <w:vAlign w:val="center"/>
          </w:tcPr>
          <w:p w14:paraId="152CFDF7" w14:textId="29FCC1B7" w:rsidR="00CA4235" w:rsidRPr="007778B4" w:rsidRDefault="00CA4235" w:rsidP="00471446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14:paraId="7A17BCAD" w14:textId="77777777" w:rsidR="00CA4235" w:rsidRPr="007778B4" w:rsidRDefault="006263E3" w:rsidP="00471446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Procedimiento nuevo</w:t>
            </w:r>
          </w:p>
        </w:tc>
        <w:tc>
          <w:tcPr>
            <w:tcW w:w="2245" w:type="dxa"/>
            <w:vAlign w:val="center"/>
          </w:tcPr>
          <w:p w14:paraId="7BAE31C7" w14:textId="77777777" w:rsidR="00CA4235" w:rsidRPr="007778B4" w:rsidRDefault="00CA4235" w:rsidP="00471446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</w:p>
        </w:tc>
      </w:tr>
    </w:tbl>
    <w:p w14:paraId="1AC89181" w14:textId="77777777" w:rsidR="00CA4235" w:rsidRPr="007778B4" w:rsidRDefault="00CA4235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p w14:paraId="1B82D0D7" w14:textId="77777777" w:rsidR="00A85348" w:rsidRPr="007778B4" w:rsidRDefault="00A85348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p w14:paraId="04928CD2" w14:textId="77777777" w:rsidR="00A85348" w:rsidRPr="007778B4" w:rsidRDefault="00A85348" w:rsidP="00471446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2210"/>
        <w:gridCol w:w="2210"/>
      </w:tblGrid>
      <w:tr w:rsidR="001335DF" w:rsidRPr="007778B4" w14:paraId="4282B8B7" w14:textId="77777777" w:rsidTr="007778B4">
        <w:tc>
          <w:tcPr>
            <w:tcW w:w="8828" w:type="dxa"/>
            <w:gridSpan w:val="3"/>
            <w:shd w:val="clear" w:color="auto" w:fill="07AF27"/>
            <w:vAlign w:val="center"/>
          </w:tcPr>
          <w:p w14:paraId="0530F70F" w14:textId="77777777" w:rsidR="001335DF" w:rsidRPr="007778B4" w:rsidRDefault="001335DF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Preparado por</w:t>
            </w:r>
          </w:p>
        </w:tc>
      </w:tr>
      <w:tr w:rsidR="0060493A" w:rsidRPr="007778B4" w14:paraId="2797CD53" w14:textId="77777777" w:rsidTr="007778B4">
        <w:tc>
          <w:tcPr>
            <w:tcW w:w="4408" w:type="dxa"/>
            <w:shd w:val="clear" w:color="auto" w:fill="07AF27"/>
            <w:vAlign w:val="center"/>
          </w:tcPr>
          <w:p w14:paraId="2BF51C26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Nombre y Cargo</w:t>
            </w:r>
          </w:p>
        </w:tc>
        <w:tc>
          <w:tcPr>
            <w:tcW w:w="2210" w:type="dxa"/>
            <w:shd w:val="clear" w:color="auto" w:fill="07AF27"/>
            <w:vAlign w:val="center"/>
          </w:tcPr>
          <w:p w14:paraId="7545A535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2210" w:type="dxa"/>
            <w:shd w:val="clear" w:color="auto" w:fill="07AF27"/>
            <w:vAlign w:val="center"/>
          </w:tcPr>
          <w:p w14:paraId="0BDFE66E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Fecha</w:t>
            </w:r>
          </w:p>
        </w:tc>
      </w:tr>
      <w:tr w:rsidR="0060493A" w:rsidRPr="007778B4" w14:paraId="6BEEA8ED" w14:textId="77777777" w:rsidTr="007778B4">
        <w:trPr>
          <w:trHeight w:val="469"/>
        </w:trPr>
        <w:tc>
          <w:tcPr>
            <w:tcW w:w="4408" w:type="dxa"/>
            <w:vAlign w:val="center"/>
          </w:tcPr>
          <w:p w14:paraId="05ACA7F2" w14:textId="77777777" w:rsidR="00371690" w:rsidRPr="007778B4" w:rsidRDefault="00371690" w:rsidP="00711C2C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</w:p>
          <w:p w14:paraId="4BB3AAA2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 xml:space="preserve"> </w:t>
            </w:r>
          </w:p>
          <w:p w14:paraId="46A5D9C6" w14:textId="77777777" w:rsidR="00A85348" w:rsidRPr="007778B4" w:rsidRDefault="00A85348" w:rsidP="00711C2C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3A0615C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1AC3FDDC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</w:p>
        </w:tc>
      </w:tr>
    </w:tbl>
    <w:p w14:paraId="70664F0C" w14:textId="77777777" w:rsidR="007778B4" w:rsidRDefault="007778B4"/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2210"/>
        <w:gridCol w:w="2210"/>
      </w:tblGrid>
      <w:tr w:rsidR="0060493A" w:rsidRPr="007778B4" w14:paraId="752DB500" w14:textId="77777777" w:rsidTr="007778B4">
        <w:tc>
          <w:tcPr>
            <w:tcW w:w="8828" w:type="dxa"/>
            <w:gridSpan w:val="3"/>
            <w:shd w:val="clear" w:color="auto" w:fill="07AF27"/>
            <w:vAlign w:val="center"/>
          </w:tcPr>
          <w:p w14:paraId="3DD37B4B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 xml:space="preserve">Revisado </w:t>
            </w:r>
            <w:r w:rsidR="00A85348" w:rsidRPr="007778B4">
              <w:rPr>
                <w:rFonts w:ascii="Gotham Bold" w:hAnsi="Gotham Bold" w:cstheme="minorHAnsi"/>
                <w:b/>
                <w:sz w:val="24"/>
                <w:szCs w:val="24"/>
              </w:rPr>
              <w:t xml:space="preserve">y Aprobado </w:t>
            </w: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por</w:t>
            </w:r>
          </w:p>
        </w:tc>
      </w:tr>
      <w:tr w:rsidR="0060493A" w:rsidRPr="007778B4" w14:paraId="0875C42F" w14:textId="77777777" w:rsidTr="007778B4">
        <w:tc>
          <w:tcPr>
            <w:tcW w:w="4408" w:type="dxa"/>
            <w:shd w:val="clear" w:color="auto" w:fill="07AF27"/>
            <w:vAlign w:val="center"/>
          </w:tcPr>
          <w:p w14:paraId="7585A926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Nombre y Cargo</w:t>
            </w:r>
          </w:p>
        </w:tc>
        <w:tc>
          <w:tcPr>
            <w:tcW w:w="2210" w:type="dxa"/>
            <w:shd w:val="clear" w:color="auto" w:fill="07AF27"/>
            <w:vAlign w:val="center"/>
          </w:tcPr>
          <w:p w14:paraId="23B7033A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2210" w:type="dxa"/>
            <w:shd w:val="clear" w:color="auto" w:fill="07AF27"/>
            <w:vAlign w:val="center"/>
          </w:tcPr>
          <w:p w14:paraId="3F039B9E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b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b/>
                <w:sz w:val="24"/>
                <w:szCs w:val="24"/>
              </w:rPr>
              <w:t>Fecha</w:t>
            </w:r>
          </w:p>
        </w:tc>
      </w:tr>
      <w:tr w:rsidR="0060493A" w:rsidRPr="007778B4" w14:paraId="488E9EFA" w14:textId="77777777" w:rsidTr="007778B4">
        <w:trPr>
          <w:trHeight w:val="469"/>
        </w:trPr>
        <w:tc>
          <w:tcPr>
            <w:tcW w:w="4408" w:type="dxa"/>
            <w:vAlign w:val="center"/>
          </w:tcPr>
          <w:p w14:paraId="28F3F300" w14:textId="77777777" w:rsidR="00371690" w:rsidRPr="007778B4" w:rsidRDefault="00371690" w:rsidP="00A85348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</w:p>
          <w:p w14:paraId="31BE1C1F" w14:textId="77777777" w:rsidR="00371690" w:rsidRPr="007778B4" w:rsidRDefault="00371690" w:rsidP="00A85348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</w:p>
          <w:p w14:paraId="654991EC" w14:textId="66176279" w:rsidR="0060493A" w:rsidRPr="007778B4" w:rsidRDefault="00390BAB" w:rsidP="00A85348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  <w:r w:rsidRPr="007778B4">
              <w:rPr>
                <w:rFonts w:ascii="Gotham Bold" w:hAnsi="Gotham Bold" w:cstheme="minorHAnsi"/>
                <w:sz w:val="24"/>
                <w:szCs w:val="24"/>
              </w:rPr>
              <w:t>Presidente del C</w:t>
            </w:r>
            <w:r w:rsidR="006014CF" w:rsidRPr="007778B4">
              <w:rPr>
                <w:rFonts w:ascii="Gotham Bold" w:hAnsi="Gotham Bold" w:cstheme="minorHAnsi"/>
                <w:sz w:val="24"/>
                <w:szCs w:val="24"/>
              </w:rPr>
              <w:t>BI- UMECIT</w:t>
            </w:r>
          </w:p>
        </w:tc>
        <w:tc>
          <w:tcPr>
            <w:tcW w:w="2210" w:type="dxa"/>
            <w:vAlign w:val="center"/>
          </w:tcPr>
          <w:p w14:paraId="52700192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DF91B07" w14:textId="77777777" w:rsidR="0060493A" w:rsidRPr="007778B4" w:rsidRDefault="0060493A" w:rsidP="00711C2C">
            <w:pPr>
              <w:jc w:val="center"/>
              <w:rPr>
                <w:rFonts w:ascii="Gotham Bold" w:hAnsi="Gotham Bold" w:cstheme="minorHAnsi"/>
                <w:sz w:val="24"/>
                <w:szCs w:val="24"/>
              </w:rPr>
            </w:pPr>
          </w:p>
        </w:tc>
      </w:tr>
    </w:tbl>
    <w:p w14:paraId="2275C8F2" w14:textId="77777777" w:rsidR="00CA4235" w:rsidRPr="007778B4" w:rsidRDefault="00CA4235" w:rsidP="00D263A3">
      <w:pPr>
        <w:spacing w:after="0" w:line="240" w:lineRule="auto"/>
        <w:rPr>
          <w:rFonts w:ascii="Gotham Bold" w:hAnsi="Gotham Bold" w:cstheme="minorHAnsi"/>
          <w:sz w:val="24"/>
          <w:szCs w:val="24"/>
        </w:rPr>
      </w:pPr>
    </w:p>
    <w:sectPr w:rsidR="00CA4235" w:rsidRPr="007778B4" w:rsidSect="00450F0E">
      <w:headerReference w:type="default" r:id="rId7"/>
      <w:footerReference w:type="default" r:id="rId8"/>
      <w:pgSz w:w="12240" w:h="15840"/>
      <w:pgMar w:top="190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209C" w14:textId="77777777" w:rsidR="00450F0E" w:rsidRDefault="00450F0E" w:rsidP="00CA4235">
      <w:pPr>
        <w:spacing w:after="0" w:line="240" w:lineRule="auto"/>
      </w:pPr>
      <w:r>
        <w:separator/>
      </w:r>
    </w:p>
  </w:endnote>
  <w:endnote w:type="continuationSeparator" w:id="0">
    <w:p w14:paraId="0874BAFE" w14:textId="77777777" w:rsidR="00450F0E" w:rsidRDefault="00450F0E" w:rsidP="00C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EB07" w14:textId="77777777" w:rsidR="00CA4235" w:rsidRPr="00390BAB" w:rsidRDefault="00390BAB" w:rsidP="0060493A">
    <w:pPr>
      <w:pStyle w:val="Piedepgina"/>
      <w:jc w:val="center"/>
      <w:rPr>
        <w:rFonts w:cs="Arial"/>
        <w:i/>
        <w:color w:val="000000" w:themeColor="text1"/>
        <w:sz w:val="16"/>
        <w:szCs w:val="16"/>
      </w:rPr>
    </w:pPr>
    <w:r w:rsidRPr="00390BAB">
      <w:rPr>
        <w:rFonts w:cs="Arial"/>
        <w:i/>
        <w:color w:val="000000" w:themeColor="text1"/>
        <w:sz w:val="16"/>
        <w:szCs w:val="16"/>
      </w:rPr>
      <w:t>Comité Nacional de Bioética</w:t>
    </w:r>
    <w:r w:rsidR="00626EFE" w:rsidRPr="00390BAB">
      <w:rPr>
        <w:rFonts w:cs="Arial"/>
        <w:i/>
        <w:color w:val="000000" w:themeColor="text1"/>
        <w:sz w:val="16"/>
        <w:szCs w:val="16"/>
      </w:rPr>
      <w:t xml:space="preserve"> de la</w:t>
    </w:r>
    <w:r w:rsidR="0060493A" w:rsidRPr="00390BAB">
      <w:rPr>
        <w:rFonts w:cs="Arial"/>
        <w:i/>
        <w:color w:val="000000" w:themeColor="text1"/>
        <w:sz w:val="16"/>
        <w:szCs w:val="16"/>
      </w:rPr>
      <w:t xml:space="preserve"> Investigación de Panamá</w:t>
    </w:r>
  </w:p>
  <w:p w14:paraId="28162E4E" w14:textId="77777777" w:rsidR="0060493A" w:rsidRPr="00390BAB" w:rsidRDefault="0060493A" w:rsidP="0060493A">
    <w:pPr>
      <w:pStyle w:val="Piedepgina"/>
      <w:jc w:val="center"/>
      <w:rPr>
        <w:rFonts w:cs="Arial"/>
        <w:b/>
        <w:i/>
        <w:color w:val="000000" w:themeColor="text1"/>
        <w:sz w:val="16"/>
        <w:szCs w:val="16"/>
      </w:rPr>
    </w:pPr>
    <w:r w:rsidRPr="00390BAB">
      <w:rPr>
        <w:rFonts w:cs="Arial"/>
        <w:i/>
        <w:color w:val="000000" w:themeColor="text1"/>
        <w:sz w:val="16"/>
        <w:szCs w:val="16"/>
        <w:lang w:val="es-ES"/>
      </w:rPr>
      <w:t xml:space="preserve">Página </w:t>
    </w:r>
    <w:r w:rsidR="004032BA" w:rsidRPr="00390BAB">
      <w:rPr>
        <w:rFonts w:cs="Arial"/>
        <w:b/>
        <w:i/>
        <w:color w:val="000000" w:themeColor="text1"/>
        <w:sz w:val="16"/>
        <w:szCs w:val="16"/>
      </w:rPr>
      <w:fldChar w:fldCharType="begin"/>
    </w:r>
    <w:r w:rsidRPr="00390BAB">
      <w:rPr>
        <w:rFonts w:cs="Arial"/>
        <w:b/>
        <w:i/>
        <w:color w:val="000000" w:themeColor="text1"/>
        <w:sz w:val="16"/>
        <w:szCs w:val="16"/>
      </w:rPr>
      <w:instrText>PAGE  \* Arabic  \* MERGEFORMAT</w:instrText>
    </w:r>
    <w:r w:rsidR="004032BA" w:rsidRPr="00390BAB">
      <w:rPr>
        <w:rFonts w:cs="Arial"/>
        <w:b/>
        <w:i/>
        <w:color w:val="000000" w:themeColor="text1"/>
        <w:sz w:val="16"/>
        <w:szCs w:val="16"/>
      </w:rPr>
      <w:fldChar w:fldCharType="separate"/>
    </w:r>
    <w:r w:rsidR="00DC1751" w:rsidRPr="00DC1751">
      <w:rPr>
        <w:rFonts w:cs="Arial"/>
        <w:b/>
        <w:i/>
        <w:noProof/>
        <w:color w:val="000000" w:themeColor="text1"/>
        <w:sz w:val="16"/>
        <w:szCs w:val="16"/>
        <w:lang w:val="es-ES"/>
      </w:rPr>
      <w:t>3</w:t>
    </w:r>
    <w:r w:rsidR="004032BA" w:rsidRPr="00390BAB">
      <w:rPr>
        <w:rFonts w:cs="Arial"/>
        <w:b/>
        <w:i/>
        <w:color w:val="000000" w:themeColor="text1"/>
        <w:sz w:val="16"/>
        <w:szCs w:val="16"/>
      </w:rPr>
      <w:fldChar w:fldCharType="end"/>
    </w:r>
    <w:r w:rsidRPr="00390BAB">
      <w:rPr>
        <w:rFonts w:cs="Arial"/>
        <w:i/>
        <w:color w:val="000000" w:themeColor="text1"/>
        <w:sz w:val="16"/>
        <w:szCs w:val="16"/>
        <w:lang w:val="es-ES"/>
      </w:rPr>
      <w:t xml:space="preserve"> de </w:t>
    </w:r>
    <w:r w:rsidR="00DF58C0">
      <w:rPr>
        <w:rFonts w:cs="Arial"/>
        <w:b/>
        <w:i/>
        <w:noProof/>
        <w:color w:val="000000" w:themeColor="text1"/>
        <w:sz w:val="16"/>
        <w:szCs w:val="16"/>
        <w:lang w:val="es-ES"/>
      </w:rPr>
      <w:fldChar w:fldCharType="begin"/>
    </w:r>
    <w:r w:rsidR="00DF58C0">
      <w:rPr>
        <w:rFonts w:cs="Arial"/>
        <w:b/>
        <w:i/>
        <w:noProof/>
        <w:color w:val="000000" w:themeColor="text1"/>
        <w:sz w:val="16"/>
        <w:szCs w:val="16"/>
        <w:lang w:val="es-ES"/>
      </w:rPr>
      <w:instrText>NUMPAGES  \* Arabic  \* MERGEFORMAT</w:instrText>
    </w:r>
    <w:r w:rsidR="00DF58C0">
      <w:rPr>
        <w:rFonts w:cs="Arial"/>
        <w:b/>
        <w:i/>
        <w:noProof/>
        <w:color w:val="000000" w:themeColor="text1"/>
        <w:sz w:val="16"/>
        <w:szCs w:val="16"/>
        <w:lang w:val="es-ES"/>
      </w:rPr>
      <w:fldChar w:fldCharType="separate"/>
    </w:r>
    <w:r w:rsidR="00DC1751" w:rsidRPr="00DC1751">
      <w:rPr>
        <w:rFonts w:cs="Arial"/>
        <w:b/>
        <w:i/>
        <w:noProof/>
        <w:color w:val="000000" w:themeColor="text1"/>
        <w:sz w:val="16"/>
        <w:szCs w:val="16"/>
        <w:lang w:val="es-ES"/>
      </w:rPr>
      <w:t>4</w:t>
    </w:r>
    <w:r w:rsidR="00DF58C0">
      <w:rPr>
        <w:rFonts w:cs="Arial"/>
        <w:b/>
        <w:i/>
        <w:noProof/>
        <w:color w:val="000000" w:themeColor="text1"/>
        <w:sz w:val="16"/>
        <w:szCs w:val="16"/>
        <w:lang w:val="es-ES"/>
      </w:rPr>
      <w:fldChar w:fldCharType="end"/>
    </w:r>
  </w:p>
  <w:p w14:paraId="75FB3A1A" w14:textId="77777777" w:rsidR="00781A7C" w:rsidRPr="0060493A" w:rsidRDefault="00781A7C" w:rsidP="00781A7C">
    <w:pPr>
      <w:pStyle w:val="Piedepgina"/>
      <w:rPr>
        <w:rFonts w:ascii="Arial" w:hAnsi="Arial" w:cs="Arial"/>
        <w:i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648D" w14:textId="77777777" w:rsidR="00450F0E" w:rsidRDefault="00450F0E" w:rsidP="00CA4235">
      <w:pPr>
        <w:spacing w:after="0" w:line="240" w:lineRule="auto"/>
      </w:pPr>
      <w:r>
        <w:separator/>
      </w:r>
    </w:p>
  </w:footnote>
  <w:footnote w:type="continuationSeparator" w:id="0">
    <w:p w14:paraId="1875D9EF" w14:textId="77777777" w:rsidR="00450F0E" w:rsidRDefault="00450F0E" w:rsidP="00C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135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856"/>
      <w:gridCol w:w="3168"/>
      <w:gridCol w:w="3111"/>
    </w:tblGrid>
    <w:tr w:rsidR="007778B4" w:rsidRPr="007778B4" w14:paraId="3970A381" w14:textId="77777777" w:rsidTr="007778B4">
      <w:trPr>
        <w:trHeight w:val="1166"/>
        <w:jc w:val="center"/>
      </w:trPr>
      <w:tc>
        <w:tcPr>
          <w:tcW w:w="274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8DB0555" w14:textId="3FB5763C" w:rsidR="007778B4" w:rsidRPr="007778B4" w:rsidRDefault="007778B4" w:rsidP="007778B4">
          <w:pPr>
            <w:pStyle w:val="Piedepgina"/>
            <w:jc w:val="center"/>
            <w:rPr>
              <w:rFonts w:ascii="Gotham Bold" w:hAnsi="Gotham Bold" w:cstheme="minorHAnsi"/>
              <w:b/>
              <w:noProof/>
              <w:sz w:val="24"/>
              <w:szCs w:val="24"/>
              <w:lang w:eastAsia="es-MX"/>
            </w:rPr>
          </w:pPr>
          <w:r w:rsidRPr="007778B4">
            <w:rPr>
              <w:rFonts w:ascii="Gotham Bold" w:hAnsi="Gotham Bold"/>
              <w:noProof/>
            </w:rPr>
            <w:drawing>
              <wp:anchor distT="0" distB="0" distL="114300" distR="114300" simplePos="0" relativeHeight="251661312" behindDoc="0" locked="0" layoutInCell="1" hidden="0" allowOverlap="1" wp14:anchorId="2F85A7C7" wp14:editId="79DA83F7">
                <wp:simplePos x="0" y="0"/>
                <wp:positionH relativeFrom="column">
                  <wp:posOffset>28575</wp:posOffset>
                </wp:positionH>
                <wp:positionV relativeFrom="paragraph">
                  <wp:posOffset>31115</wp:posOffset>
                </wp:positionV>
                <wp:extent cx="1666875" cy="771525"/>
                <wp:effectExtent l="0" t="0" r="9525" b="9525"/>
                <wp:wrapSquare wrapText="bothSides" distT="0" distB="0" distL="114300" distR="114300"/>
                <wp:docPr id="18174544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5105" t="50481" r="19551" b="342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8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FF4B280" w14:textId="13B281EB" w:rsidR="007778B4" w:rsidRPr="007778B4" w:rsidRDefault="007778B4" w:rsidP="007778B4">
          <w:pPr>
            <w:pStyle w:val="Piedepgina"/>
            <w:ind w:left="884" w:hanging="884"/>
            <w:jc w:val="center"/>
            <w:rPr>
              <w:rFonts w:ascii="Gotham Bold" w:hAnsi="Gotham Bold" w:cstheme="minorHAnsi"/>
              <w:b/>
              <w:sz w:val="24"/>
              <w:szCs w:val="24"/>
            </w:rPr>
          </w:pPr>
          <w:r w:rsidRPr="007778B4">
            <w:rPr>
              <w:rFonts w:ascii="Gotham Bold" w:hAnsi="Gotham Bold" w:cstheme="minorHAnsi"/>
              <w:b/>
              <w:sz w:val="24"/>
              <w:szCs w:val="24"/>
            </w:rPr>
            <w:t xml:space="preserve">Título: Reconsideraciones de decisiones sobre Protocolos de Investigación </w:t>
          </w:r>
        </w:p>
      </w:tc>
    </w:tr>
    <w:tr w:rsidR="007778B4" w:rsidRPr="007778B4" w14:paraId="0563A728" w14:textId="77777777" w:rsidTr="007778B4">
      <w:trPr>
        <w:trHeight w:val="582"/>
        <w:jc w:val="center"/>
      </w:trPr>
      <w:tc>
        <w:tcPr>
          <w:tcW w:w="274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07AF27"/>
          <w:vAlign w:val="center"/>
          <w:hideMark/>
        </w:tcPr>
        <w:p w14:paraId="313D5EE3" w14:textId="3260ABC6" w:rsidR="007778B4" w:rsidRPr="007778B4" w:rsidRDefault="007778B4" w:rsidP="005A5EF4">
          <w:pPr>
            <w:pStyle w:val="Piedepgina"/>
            <w:jc w:val="center"/>
            <w:rPr>
              <w:rFonts w:ascii="Gotham Bold" w:hAnsi="Gotham Bold" w:cstheme="minorHAnsi"/>
              <w:b/>
              <w:sz w:val="24"/>
              <w:szCs w:val="24"/>
            </w:rPr>
          </w:pPr>
          <w:r w:rsidRPr="007778B4">
            <w:rPr>
              <w:rFonts w:ascii="Gotham Bold" w:hAnsi="Gotham Bold" w:cstheme="minorHAnsi"/>
              <w:b/>
              <w:sz w:val="24"/>
              <w:szCs w:val="24"/>
            </w:rPr>
            <w:t>Código: P</w:t>
          </w:r>
          <w:r w:rsidR="00DB3C58">
            <w:rPr>
              <w:rFonts w:ascii="Gotham Bold" w:hAnsi="Gotham Bold" w:cstheme="minorHAnsi"/>
              <w:b/>
              <w:sz w:val="24"/>
              <w:szCs w:val="24"/>
            </w:rPr>
            <w:t>-</w:t>
          </w:r>
          <w:r w:rsidRPr="007778B4">
            <w:rPr>
              <w:rFonts w:ascii="Gotham Bold" w:hAnsi="Gotham Bold" w:cstheme="minorHAnsi"/>
              <w:b/>
              <w:sz w:val="24"/>
              <w:szCs w:val="24"/>
            </w:rPr>
            <w:t>GI</w:t>
          </w:r>
          <w:r w:rsidR="00DB3C58">
            <w:rPr>
              <w:rFonts w:ascii="Gotham Bold" w:hAnsi="Gotham Bold" w:cstheme="minorHAnsi"/>
              <w:b/>
              <w:sz w:val="24"/>
              <w:szCs w:val="24"/>
            </w:rPr>
            <w:t>P</w:t>
          </w:r>
          <w:r w:rsidRPr="007778B4">
            <w:rPr>
              <w:rFonts w:ascii="Gotham Bold" w:hAnsi="Gotham Bold" w:cstheme="minorHAnsi"/>
              <w:b/>
              <w:sz w:val="24"/>
              <w:szCs w:val="24"/>
            </w:rPr>
            <w:t>-</w:t>
          </w:r>
          <w:r w:rsidR="00DB3C58">
            <w:rPr>
              <w:rFonts w:ascii="Gotham Bold" w:hAnsi="Gotham Bold" w:cstheme="minorHAnsi"/>
              <w:b/>
              <w:sz w:val="24"/>
              <w:szCs w:val="24"/>
            </w:rPr>
            <w:t>24</w:t>
          </w:r>
        </w:p>
      </w:tc>
      <w:tc>
        <w:tcPr>
          <w:tcW w:w="321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00B050"/>
          <w:vAlign w:val="center"/>
        </w:tcPr>
        <w:p w14:paraId="678C3DA2" w14:textId="77777777" w:rsidR="007778B4" w:rsidRPr="007778B4" w:rsidRDefault="007778B4" w:rsidP="007778B4">
          <w:pPr>
            <w:pStyle w:val="Piedepgina"/>
            <w:jc w:val="center"/>
            <w:rPr>
              <w:rFonts w:ascii="Gotham Bold" w:hAnsi="Gotham Bold" w:cstheme="minorHAnsi"/>
              <w:b/>
              <w:sz w:val="24"/>
              <w:szCs w:val="24"/>
            </w:rPr>
          </w:pPr>
          <w:r w:rsidRPr="007778B4">
            <w:rPr>
              <w:rFonts w:ascii="Gotham Bold" w:hAnsi="Gotham Bold" w:cstheme="minorHAnsi"/>
              <w:b/>
              <w:sz w:val="24"/>
              <w:szCs w:val="24"/>
            </w:rPr>
            <w:t>Versión 00</w:t>
          </w:r>
        </w:p>
      </w:tc>
      <w:tc>
        <w:tcPr>
          <w:tcW w:w="317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1A6DE7D5" w14:textId="2A1DCBAD" w:rsidR="007778B4" w:rsidRPr="007778B4" w:rsidRDefault="007778B4" w:rsidP="004C7D6F">
          <w:pPr>
            <w:pStyle w:val="Piedepgina"/>
            <w:jc w:val="both"/>
            <w:rPr>
              <w:rFonts w:ascii="Gotham Bold" w:hAnsi="Gotham Bold" w:cstheme="minorHAnsi"/>
              <w:b/>
              <w:sz w:val="24"/>
              <w:szCs w:val="24"/>
            </w:rPr>
          </w:pPr>
          <w:r w:rsidRPr="007778B4">
            <w:rPr>
              <w:rFonts w:ascii="Gotham Bold" w:hAnsi="Gotham Bold" w:cstheme="minorHAnsi"/>
              <w:sz w:val="24"/>
              <w:szCs w:val="24"/>
            </w:rPr>
            <w:t>Fecha</w:t>
          </w:r>
        </w:p>
      </w:tc>
    </w:tr>
  </w:tbl>
  <w:p w14:paraId="6397E8C4" w14:textId="77777777" w:rsidR="00CA4235" w:rsidRPr="00C118A2" w:rsidRDefault="00CA4235" w:rsidP="00781A7C">
    <w:pPr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94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34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CA6AD9"/>
    <w:multiLevelType w:val="hybridMultilevel"/>
    <w:tmpl w:val="92A40312"/>
    <w:lvl w:ilvl="0" w:tplc="02BEB30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975B8"/>
    <w:multiLevelType w:val="multilevel"/>
    <w:tmpl w:val="A776E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651746"/>
    <w:multiLevelType w:val="multilevel"/>
    <w:tmpl w:val="0EFA01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4" w15:restartNumberingAfterBreak="0">
    <w:nsid w:val="333A086E"/>
    <w:multiLevelType w:val="hybridMultilevel"/>
    <w:tmpl w:val="1A3E14C2"/>
    <w:lvl w:ilvl="0" w:tplc="66E61B46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418C5"/>
    <w:multiLevelType w:val="multilevel"/>
    <w:tmpl w:val="F24CD5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6" w15:restartNumberingAfterBreak="0">
    <w:nsid w:val="42C00570"/>
    <w:multiLevelType w:val="multilevel"/>
    <w:tmpl w:val="7644982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7" w15:restartNumberingAfterBreak="0">
    <w:nsid w:val="639356F5"/>
    <w:multiLevelType w:val="multilevel"/>
    <w:tmpl w:val="AB265B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6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num w:numId="1" w16cid:durableId="1425108399">
    <w:abstractNumId w:val="1"/>
  </w:num>
  <w:num w:numId="2" w16cid:durableId="1807695189">
    <w:abstractNumId w:val="0"/>
  </w:num>
  <w:num w:numId="3" w16cid:durableId="1683701272">
    <w:abstractNumId w:val="4"/>
  </w:num>
  <w:num w:numId="4" w16cid:durableId="117995652">
    <w:abstractNumId w:val="6"/>
  </w:num>
  <w:num w:numId="5" w16cid:durableId="1081753951">
    <w:abstractNumId w:val="3"/>
  </w:num>
  <w:num w:numId="6" w16cid:durableId="461963954">
    <w:abstractNumId w:val="2"/>
  </w:num>
  <w:num w:numId="7" w16cid:durableId="1260334107">
    <w:abstractNumId w:val="5"/>
  </w:num>
  <w:num w:numId="8" w16cid:durableId="85114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E5"/>
    <w:rsid w:val="00063A3A"/>
    <w:rsid w:val="000753A3"/>
    <w:rsid w:val="000D10DC"/>
    <w:rsid w:val="000E0307"/>
    <w:rsid w:val="000E7608"/>
    <w:rsid w:val="00116A81"/>
    <w:rsid w:val="001232C3"/>
    <w:rsid w:val="001277F2"/>
    <w:rsid w:val="001335DF"/>
    <w:rsid w:val="001546EB"/>
    <w:rsid w:val="001B7362"/>
    <w:rsid w:val="001D1550"/>
    <w:rsid w:val="001D5152"/>
    <w:rsid w:val="001D60FA"/>
    <w:rsid w:val="001F65FC"/>
    <w:rsid w:val="00234FDF"/>
    <w:rsid w:val="002375E7"/>
    <w:rsid w:val="002416E7"/>
    <w:rsid w:val="00280829"/>
    <w:rsid w:val="002E1E39"/>
    <w:rsid w:val="002F7261"/>
    <w:rsid w:val="00305356"/>
    <w:rsid w:val="00332A2B"/>
    <w:rsid w:val="00332C23"/>
    <w:rsid w:val="00371690"/>
    <w:rsid w:val="00382FC4"/>
    <w:rsid w:val="00390BAB"/>
    <w:rsid w:val="003A6640"/>
    <w:rsid w:val="003A7A3B"/>
    <w:rsid w:val="003B2DB7"/>
    <w:rsid w:val="003C7431"/>
    <w:rsid w:val="003E2502"/>
    <w:rsid w:val="004032BA"/>
    <w:rsid w:val="00412049"/>
    <w:rsid w:val="00427F5A"/>
    <w:rsid w:val="00450F0E"/>
    <w:rsid w:val="00471446"/>
    <w:rsid w:val="004805F4"/>
    <w:rsid w:val="00483C15"/>
    <w:rsid w:val="00493526"/>
    <w:rsid w:val="004C65EC"/>
    <w:rsid w:val="004C7D6F"/>
    <w:rsid w:val="004D2476"/>
    <w:rsid w:val="004D40DA"/>
    <w:rsid w:val="005048FD"/>
    <w:rsid w:val="005411A3"/>
    <w:rsid w:val="00556CAA"/>
    <w:rsid w:val="005750E9"/>
    <w:rsid w:val="00596F23"/>
    <w:rsid w:val="005E1A22"/>
    <w:rsid w:val="006014CF"/>
    <w:rsid w:val="0060493A"/>
    <w:rsid w:val="006263E3"/>
    <w:rsid w:val="00626EFE"/>
    <w:rsid w:val="0068324C"/>
    <w:rsid w:val="00684079"/>
    <w:rsid w:val="007007BF"/>
    <w:rsid w:val="007021C9"/>
    <w:rsid w:val="00706227"/>
    <w:rsid w:val="00731D37"/>
    <w:rsid w:val="007356E1"/>
    <w:rsid w:val="00747D39"/>
    <w:rsid w:val="00760365"/>
    <w:rsid w:val="00770571"/>
    <w:rsid w:val="00771E53"/>
    <w:rsid w:val="007778B4"/>
    <w:rsid w:val="00781A7C"/>
    <w:rsid w:val="007914BA"/>
    <w:rsid w:val="007A6C16"/>
    <w:rsid w:val="007D6CEC"/>
    <w:rsid w:val="007F587D"/>
    <w:rsid w:val="0080510F"/>
    <w:rsid w:val="0082149C"/>
    <w:rsid w:val="00832871"/>
    <w:rsid w:val="008359AF"/>
    <w:rsid w:val="00893667"/>
    <w:rsid w:val="008978F0"/>
    <w:rsid w:val="008A2FDD"/>
    <w:rsid w:val="008D05D3"/>
    <w:rsid w:val="008E0BE5"/>
    <w:rsid w:val="008F3458"/>
    <w:rsid w:val="00936423"/>
    <w:rsid w:val="00960292"/>
    <w:rsid w:val="00971DB3"/>
    <w:rsid w:val="009C4A15"/>
    <w:rsid w:val="009F21D8"/>
    <w:rsid w:val="00A15235"/>
    <w:rsid w:val="00A316E0"/>
    <w:rsid w:val="00A32302"/>
    <w:rsid w:val="00A471ED"/>
    <w:rsid w:val="00A50603"/>
    <w:rsid w:val="00A5575E"/>
    <w:rsid w:val="00A85348"/>
    <w:rsid w:val="00A95E2A"/>
    <w:rsid w:val="00AF371E"/>
    <w:rsid w:val="00B206A2"/>
    <w:rsid w:val="00B251DC"/>
    <w:rsid w:val="00B72653"/>
    <w:rsid w:val="00B738A0"/>
    <w:rsid w:val="00C118A2"/>
    <w:rsid w:val="00C25AF7"/>
    <w:rsid w:val="00C63815"/>
    <w:rsid w:val="00C7435A"/>
    <w:rsid w:val="00CA4235"/>
    <w:rsid w:val="00CB49D0"/>
    <w:rsid w:val="00CC54C4"/>
    <w:rsid w:val="00CD0D5D"/>
    <w:rsid w:val="00D263A3"/>
    <w:rsid w:val="00D32BB1"/>
    <w:rsid w:val="00D97465"/>
    <w:rsid w:val="00DB3C58"/>
    <w:rsid w:val="00DC1751"/>
    <w:rsid w:val="00DC6B91"/>
    <w:rsid w:val="00DE02D1"/>
    <w:rsid w:val="00DF58C0"/>
    <w:rsid w:val="00E4288F"/>
    <w:rsid w:val="00E53B51"/>
    <w:rsid w:val="00E62996"/>
    <w:rsid w:val="00EC66F3"/>
    <w:rsid w:val="00EE5D02"/>
    <w:rsid w:val="00EF1BF8"/>
    <w:rsid w:val="00F26D2F"/>
    <w:rsid w:val="00F364D9"/>
    <w:rsid w:val="00F52203"/>
    <w:rsid w:val="00F64555"/>
    <w:rsid w:val="00F878D5"/>
    <w:rsid w:val="00FB5441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F1E780"/>
  <w15:docId w15:val="{2519E41B-DEFB-4564-AA47-9FEF83BD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235"/>
  </w:style>
  <w:style w:type="paragraph" w:styleId="Piedepgina">
    <w:name w:val="footer"/>
    <w:basedOn w:val="Normal"/>
    <w:link w:val="PiedepginaCar"/>
    <w:uiPriority w:val="99"/>
    <w:unhideWhenUsed/>
    <w:rsid w:val="00CA4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235"/>
  </w:style>
  <w:style w:type="table" w:styleId="Tablaconcuadrcula">
    <w:name w:val="Table Grid"/>
    <w:basedOn w:val="Tablanormal"/>
    <w:uiPriority w:val="59"/>
    <w:rsid w:val="00CA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44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8D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878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8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78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8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8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Camilo Salas</dc:creator>
  <cp:lastModifiedBy>SGC UMECIT</cp:lastModifiedBy>
  <cp:revision>7</cp:revision>
  <cp:lastPrinted>2019-01-02T14:09:00Z</cp:lastPrinted>
  <dcterms:created xsi:type="dcterms:W3CDTF">2025-03-09T03:50:00Z</dcterms:created>
  <dcterms:modified xsi:type="dcterms:W3CDTF">2025-04-07T15:26:00Z</dcterms:modified>
</cp:coreProperties>
</file>